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98"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501"/>
        <w:gridCol w:w="3797"/>
      </w:tblGrid>
      <w:tr w:rsidR="00BA0AF0" w:rsidTr="00BA0AF0">
        <w:trPr>
          <w:trHeight w:val="915"/>
        </w:trPr>
        <w:tc>
          <w:tcPr>
            <w:tcW w:w="5501" w:type="dxa"/>
            <w:vAlign w:val="center"/>
          </w:tcPr>
          <w:p w:rsidR="00BA0AF0" w:rsidRDefault="00BA0AF0" w:rsidP="00F2387A">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2014 KASIM </w:t>
            </w:r>
          </w:p>
          <w:p w:rsidR="00BA0AF0" w:rsidRDefault="00472839" w:rsidP="00F2387A">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SEKTÖREL</w:t>
            </w:r>
            <w:r w:rsidR="00DB0FFC">
              <w:rPr>
                <w:rFonts w:asciiTheme="majorHAnsi" w:eastAsiaTheme="majorEastAsia" w:hAnsiTheme="majorHAnsi" w:cstheme="majorBidi"/>
                <w:sz w:val="36"/>
                <w:szCs w:val="36"/>
              </w:rPr>
              <w:t xml:space="preserve"> GÜVEN ENDEKSLER</w:t>
            </w:r>
            <w:r w:rsidR="00BA0AF0">
              <w:rPr>
                <w:rFonts w:asciiTheme="majorHAnsi" w:eastAsiaTheme="majorEastAsia" w:hAnsiTheme="majorHAnsi" w:cstheme="majorBidi"/>
                <w:sz w:val="36"/>
                <w:szCs w:val="36"/>
              </w:rPr>
              <w:t>İ</w:t>
            </w:r>
          </w:p>
        </w:tc>
        <w:tc>
          <w:tcPr>
            <w:tcW w:w="3797" w:type="dxa"/>
          </w:tcPr>
          <w:p w:rsidR="00BA0AF0" w:rsidRDefault="00BA0AF0" w:rsidP="00F2387A">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 xml:space="preserve">24 Kasım 2014  </w:t>
            </w:r>
            <w:r>
              <w:rPr>
                <w:rFonts w:asciiTheme="majorHAnsi" w:eastAsiaTheme="majorEastAsia" w:hAnsiTheme="majorHAnsi" w:cstheme="majorBidi"/>
                <w:b/>
                <w:bCs/>
                <w:noProof/>
                <w:color w:val="4F81BD" w:themeColor="accent1"/>
                <w:sz w:val="36"/>
                <w:szCs w:val="36"/>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Pr>
                <w:rFonts w:asciiTheme="majorHAnsi" w:eastAsiaTheme="majorEastAsia" w:hAnsiTheme="majorHAnsi" w:cstheme="majorBidi"/>
                <w:bCs/>
                <w:sz w:val="28"/>
                <w:szCs w:val="36"/>
              </w:rPr>
              <w:t xml:space="preserve">              </w:t>
            </w:r>
          </w:p>
        </w:tc>
      </w:tr>
    </w:tbl>
    <w:p w:rsidR="00D11DC0" w:rsidRDefault="00D11DC0"/>
    <w:p w:rsidR="00BA0AF0" w:rsidRDefault="00BA0AF0" w:rsidP="00BA0AF0">
      <w:pPr>
        <w:jc w:val="both"/>
        <w:rPr>
          <w:rFonts w:ascii="Times New Roman" w:hAnsi="Times New Roman" w:cs="Times New Roman"/>
          <w:b/>
        </w:rPr>
      </w:pPr>
      <w:r w:rsidRPr="002B5EAF">
        <w:rPr>
          <w:rFonts w:ascii="Times New Roman" w:hAnsi="Times New Roman" w:cs="Times New Roman"/>
          <w:b/>
        </w:rPr>
        <w:t xml:space="preserve">Kasım ayı </w:t>
      </w:r>
      <w:r w:rsidR="00472839">
        <w:rPr>
          <w:rFonts w:ascii="Times New Roman" w:eastAsia="Times New Roman" w:hAnsi="Times New Roman" w:cs="Times New Roman"/>
          <w:b/>
          <w:bCs/>
          <w:lang w:eastAsia="tr-TR"/>
        </w:rPr>
        <w:t>i</w:t>
      </w:r>
      <w:r w:rsidRPr="002B5EAF">
        <w:rPr>
          <w:rFonts w:ascii="Times New Roman" w:eastAsia="Times New Roman" w:hAnsi="Times New Roman" w:cs="Times New Roman"/>
          <w:b/>
          <w:bCs/>
          <w:lang w:eastAsia="tr-TR"/>
        </w:rPr>
        <w:t xml:space="preserve">nşaat </w:t>
      </w:r>
      <w:r w:rsidR="00472839">
        <w:rPr>
          <w:rFonts w:ascii="Times New Roman" w:eastAsia="Times New Roman" w:hAnsi="Times New Roman" w:cs="Times New Roman"/>
          <w:b/>
          <w:bCs/>
          <w:lang w:eastAsia="tr-TR"/>
        </w:rPr>
        <w:t>ve hizmet sektörü güven endeksleri</w:t>
      </w:r>
      <w:r w:rsidRPr="002B5EAF">
        <w:rPr>
          <w:rFonts w:ascii="Times New Roman" w:eastAsia="Times New Roman" w:hAnsi="Times New Roman" w:cs="Times New Roman"/>
          <w:b/>
          <w:bCs/>
          <w:lang w:eastAsia="tr-TR"/>
        </w:rPr>
        <w:t xml:space="preserve"> </w:t>
      </w:r>
      <w:r w:rsidRPr="002B5EAF">
        <w:rPr>
          <w:rFonts w:ascii="Times New Roman" w:hAnsi="Times New Roman" w:cs="Times New Roman"/>
          <w:b/>
        </w:rPr>
        <w:t xml:space="preserve">TÜİK tarafından 24 Kasım 2014 tarihinde yayımlandı. </w:t>
      </w:r>
    </w:p>
    <w:p w:rsidR="00472839" w:rsidRDefault="00472839" w:rsidP="00472839">
      <w:pPr>
        <w:pStyle w:val="Balk2"/>
        <w:rPr>
          <w:lang w:eastAsia="tr-TR"/>
        </w:rPr>
      </w:pPr>
      <w:r>
        <w:rPr>
          <w:lang w:eastAsia="tr-TR"/>
        </w:rPr>
        <w:t>İnşaat</w:t>
      </w:r>
      <w:r w:rsidRPr="002B5EAF">
        <w:rPr>
          <w:lang w:eastAsia="tr-TR"/>
        </w:rPr>
        <w:t xml:space="preserve"> sektörü güven endeksi</w:t>
      </w:r>
    </w:p>
    <w:p w:rsidR="00BA0AF0" w:rsidRDefault="00BA0AF0" w:rsidP="00BA0AF0">
      <w:pPr>
        <w:jc w:val="both"/>
        <w:rPr>
          <w:rFonts w:ascii="Times New Roman" w:hAnsi="Times New Roman" w:cs="Times New Roman"/>
        </w:rPr>
      </w:pPr>
      <w:r w:rsidRPr="00472839">
        <w:rPr>
          <w:rFonts w:ascii="Times New Roman" w:hAnsi="Times New Roman" w:cs="Times New Roman"/>
        </w:rPr>
        <w:t xml:space="preserve">2014 yılı Ekim ayında 81,7 olan mevsim etkilerinden arındırılmış inşaat sektörü güven endeksi, Kasım ayında 1,2 puan artarak 82,9 seviyesine ulaşmıştır. </w:t>
      </w:r>
      <w:r w:rsidR="003E7ABA" w:rsidRPr="00472839">
        <w:rPr>
          <w:rFonts w:ascii="Times New Roman" w:hAnsi="Times New Roman" w:cs="Times New Roman"/>
        </w:rPr>
        <w:t>Bir önceki yılın aynı dönemine göre ise 84,2 puan olan hizmet sektörü güven endeksi 1,3 puan düşerek yüzde 1,51 oranında gerilemiştir.</w:t>
      </w:r>
    </w:p>
    <w:p w:rsidR="00E22179" w:rsidRPr="00DC3CEB" w:rsidRDefault="00E22179" w:rsidP="00BA0AF0">
      <w:pPr>
        <w:jc w:val="both"/>
        <w:rPr>
          <w:rFonts w:ascii="Times New Roman" w:eastAsia="Times New Roman" w:hAnsi="Times New Roman" w:cs="Times New Roman"/>
          <w:color w:val="000000"/>
          <w:lang w:eastAsia="tr-TR"/>
        </w:rPr>
      </w:pPr>
      <w:r w:rsidRPr="002B5EAF">
        <w:rPr>
          <w:rFonts w:ascii="Times New Roman" w:hAnsi="Times New Roman" w:cs="Times New Roman"/>
          <w:lang w:eastAsia="tr-TR"/>
        </w:rPr>
        <w:t xml:space="preserve">Mevsimlikten arındırılmamış inşaat sektörü güven endeksine bakıldığında ise, 2014 yılı Kasım ayında bir önceki aya göre 1,1 puan artarak 75,9 puana çıkmıştır. 2013 Kasım ayı verilerine göre incelendiğinde ise, yüzde </w:t>
      </w:r>
      <w:r w:rsidRPr="002B5EAF">
        <w:rPr>
          <w:rFonts w:ascii="Times New Roman" w:eastAsia="Times New Roman" w:hAnsi="Times New Roman" w:cs="Times New Roman"/>
          <w:color w:val="000000"/>
          <w:lang w:eastAsia="tr-TR"/>
        </w:rPr>
        <w:t xml:space="preserve">1,43 oranında azaldığı gözlemlenmektedir.  </w:t>
      </w:r>
    </w:p>
    <w:p w:rsidR="00BA0AF0" w:rsidRPr="002B5EAF" w:rsidRDefault="00BA0AF0" w:rsidP="00BA0AF0">
      <w:pPr>
        <w:pStyle w:val="ResimYazs"/>
        <w:keepNext/>
        <w:rPr>
          <w:rFonts w:ascii="Times New Roman" w:hAnsi="Times New Roman" w:cs="Times New Roman"/>
          <w:sz w:val="22"/>
          <w:szCs w:val="22"/>
        </w:rPr>
      </w:pPr>
      <w:r w:rsidRPr="002B5EAF">
        <w:rPr>
          <w:rFonts w:ascii="Times New Roman" w:hAnsi="Times New Roman" w:cs="Times New Roman"/>
          <w:sz w:val="22"/>
          <w:szCs w:val="22"/>
        </w:rPr>
        <w:t xml:space="preserve">Şekil </w:t>
      </w:r>
      <w:r w:rsidR="00A00243" w:rsidRPr="002B5EAF">
        <w:rPr>
          <w:rFonts w:ascii="Times New Roman" w:hAnsi="Times New Roman" w:cs="Times New Roman"/>
          <w:sz w:val="22"/>
          <w:szCs w:val="22"/>
        </w:rPr>
        <w:fldChar w:fldCharType="begin"/>
      </w:r>
      <w:r w:rsidRPr="002B5EAF">
        <w:rPr>
          <w:rFonts w:ascii="Times New Roman" w:hAnsi="Times New Roman" w:cs="Times New Roman"/>
          <w:sz w:val="22"/>
          <w:szCs w:val="22"/>
        </w:rPr>
        <w:instrText xml:space="preserve"> SEQ Şekil \* ARABIC </w:instrText>
      </w:r>
      <w:r w:rsidR="00A00243" w:rsidRPr="002B5EAF">
        <w:rPr>
          <w:rFonts w:ascii="Times New Roman" w:hAnsi="Times New Roman" w:cs="Times New Roman"/>
          <w:sz w:val="22"/>
          <w:szCs w:val="22"/>
        </w:rPr>
        <w:fldChar w:fldCharType="separate"/>
      </w:r>
      <w:r w:rsidR="00552189">
        <w:rPr>
          <w:rFonts w:ascii="Times New Roman" w:hAnsi="Times New Roman" w:cs="Times New Roman"/>
          <w:noProof/>
          <w:sz w:val="22"/>
          <w:szCs w:val="22"/>
        </w:rPr>
        <w:t>1</w:t>
      </w:r>
      <w:r w:rsidR="00A00243" w:rsidRPr="002B5EAF">
        <w:rPr>
          <w:rFonts w:ascii="Times New Roman" w:hAnsi="Times New Roman" w:cs="Times New Roman"/>
          <w:sz w:val="22"/>
          <w:szCs w:val="22"/>
        </w:rPr>
        <w:fldChar w:fldCharType="end"/>
      </w:r>
      <w:r w:rsidRPr="002B5EAF">
        <w:rPr>
          <w:rFonts w:ascii="Times New Roman" w:hAnsi="Times New Roman" w:cs="Times New Roman"/>
          <w:sz w:val="22"/>
          <w:szCs w:val="22"/>
        </w:rPr>
        <w:t>: inşaat sektörü güven endeksi (Kasım 2013-Kasım 2014)</w:t>
      </w:r>
    </w:p>
    <w:p w:rsidR="00E12C81" w:rsidRDefault="00F2387A" w:rsidP="00F2387A">
      <w:pPr>
        <w:rPr>
          <w:rFonts w:ascii="Times New Roman" w:hAnsi="Times New Roman" w:cs="Times New Roman"/>
          <w:lang w:eastAsia="tr-TR"/>
        </w:rPr>
      </w:pPr>
      <w:r w:rsidRPr="002B5EAF">
        <w:rPr>
          <w:rFonts w:ascii="Times New Roman" w:hAnsi="Times New Roman" w:cs="Times New Roman"/>
          <w:lang w:eastAsia="tr-TR"/>
        </w:rPr>
        <w:t xml:space="preserve"> </w:t>
      </w:r>
      <w:r w:rsidR="003E7ABA" w:rsidRPr="002B5EAF">
        <w:rPr>
          <w:rFonts w:ascii="Times New Roman" w:hAnsi="Times New Roman" w:cs="Times New Roman"/>
          <w:noProof/>
          <w:lang w:eastAsia="tr-TR"/>
        </w:rPr>
        <w:drawing>
          <wp:inline distT="0" distB="0" distL="0" distR="0">
            <wp:extent cx="5605670" cy="2385391"/>
            <wp:effectExtent l="0" t="0" r="0" b="0"/>
            <wp:docPr id="4"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15908" w:rsidRPr="002B5EAF" w:rsidRDefault="00415908" w:rsidP="00415908">
      <w:pPr>
        <w:rPr>
          <w:rFonts w:ascii="Times New Roman" w:hAnsi="Times New Roman" w:cs="Times New Roman"/>
          <w:lang w:eastAsia="tr-TR"/>
        </w:rPr>
      </w:pPr>
      <w:r>
        <w:rPr>
          <w:rFonts w:ascii="Times New Roman" w:hAnsi="Times New Roman" w:cs="Times New Roman"/>
          <w:lang w:eastAsia="tr-TR"/>
        </w:rPr>
        <w:t xml:space="preserve">Mevsimlikten arındırılmış inşaat sektörü güven endeksini oluşturan alt kalemlere bakıldığında, Ekim 2014’te 63,6 puan olan alınan kayıtlı siparişlerin mevcut düzeyinin, Kasım 2014’te 0,2 puan </w:t>
      </w:r>
      <w:r w:rsidR="007A1733">
        <w:rPr>
          <w:rFonts w:ascii="Times New Roman" w:hAnsi="Times New Roman" w:cs="Times New Roman"/>
          <w:lang w:eastAsia="tr-TR"/>
        </w:rPr>
        <w:t>ilerl</w:t>
      </w:r>
      <w:bookmarkStart w:id="0" w:name="_GoBack"/>
      <w:bookmarkEnd w:id="0"/>
      <w:r>
        <w:rPr>
          <w:rFonts w:ascii="Times New Roman" w:hAnsi="Times New Roman" w:cs="Times New Roman"/>
          <w:lang w:eastAsia="tr-TR"/>
        </w:rPr>
        <w:t xml:space="preserve">ediği ve 63,8 puan olduğu gözlemlenmektedir (Tablo 1). Gelecek 3 aylık dönem için toplam çalışan sayısı beklentisi ise, Ekim 2014’te 99,8 puan iken, Kasım 2014’te yüzde 2,20 oranında artarak 102 puan olmuştur. </w:t>
      </w:r>
    </w:p>
    <w:p w:rsidR="00415908" w:rsidRDefault="00415908" w:rsidP="00415908">
      <w:pPr>
        <w:pStyle w:val="ResimYazs"/>
        <w:keepNext/>
      </w:pPr>
      <w:r>
        <w:t xml:space="preserve">Tablo </w:t>
      </w:r>
      <w:fldSimple w:instr=" SEQ Tablo \* ARABIC ">
        <w:r w:rsidR="00552189">
          <w:rPr>
            <w:noProof/>
          </w:rPr>
          <w:t>1</w:t>
        </w:r>
      </w:fldSimple>
      <w:r>
        <w:t>: İnşaat sektörü güven endeksi bileşenleri (Ekim-Kasım 2014)</w:t>
      </w:r>
    </w:p>
    <w:tbl>
      <w:tblPr>
        <w:tblStyle w:val="AkGlgeleme-Vurgu11"/>
        <w:tblW w:w="9442" w:type="dxa"/>
        <w:tblLook w:val="04A0" w:firstRow="1" w:lastRow="0" w:firstColumn="1" w:lastColumn="0" w:noHBand="0" w:noVBand="1"/>
      </w:tblPr>
      <w:tblGrid>
        <w:gridCol w:w="6890"/>
        <w:gridCol w:w="1224"/>
        <w:gridCol w:w="1328"/>
      </w:tblGrid>
      <w:tr w:rsidR="00DC3CEB" w:rsidRPr="00DC3CEB" w:rsidTr="00DC3CEB">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890" w:type="dxa"/>
            <w:noWrap/>
            <w:hideMark/>
          </w:tcPr>
          <w:p w:rsidR="00DC3CEB" w:rsidRPr="00DC3CEB" w:rsidRDefault="00DC3CEB" w:rsidP="00DC3CEB">
            <w:pPr>
              <w:rPr>
                <w:rFonts w:ascii="Calibri" w:eastAsia="Times New Roman" w:hAnsi="Calibri" w:cs="Times New Roman"/>
                <w:color w:val="000000"/>
                <w:lang w:eastAsia="tr-TR"/>
              </w:rPr>
            </w:pPr>
          </w:p>
        </w:tc>
        <w:tc>
          <w:tcPr>
            <w:tcW w:w="2552" w:type="dxa"/>
            <w:gridSpan w:val="2"/>
            <w:noWrap/>
            <w:hideMark/>
          </w:tcPr>
          <w:p w:rsidR="00DC3CEB" w:rsidRPr="00DC3CEB" w:rsidRDefault="00DC3CEB" w:rsidP="00DC3CE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tr-TR"/>
              </w:rPr>
            </w:pPr>
            <w:r w:rsidRPr="00DC3CEB">
              <w:rPr>
                <w:rFonts w:ascii="Calibri" w:eastAsia="Times New Roman" w:hAnsi="Calibri" w:cs="Times New Roman"/>
                <w:color w:val="000000"/>
                <w:lang w:eastAsia="tr-TR"/>
              </w:rPr>
              <w:t>Endeks</w:t>
            </w:r>
          </w:p>
        </w:tc>
      </w:tr>
      <w:tr w:rsidR="00DC3CEB" w:rsidRPr="00415908" w:rsidTr="00DC3CE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890" w:type="dxa"/>
            <w:noWrap/>
            <w:hideMark/>
          </w:tcPr>
          <w:p w:rsidR="00DC3CEB" w:rsidRPr="00415908" w:rsidRDefault="00DC3CEB" w:rsidP="00DC3CEB">
            <w:pPr>
              <w:rPr>
                <w:rFonts w:ascii="Calibri" w:eastAsia="Times New Roman" w:hAnsi="Calibri" w:cs="Times New Roman"/>
                <w:color w:val="000000"/>
                <w:lang w:eastAsia="tr-TR"/>
              </w:rPr>
            </w:pPr>
          </w:p>
        </w:tc>
        <w:tc>
          <w:tcPr>
            <w:tcW w:w="1224" w:type="dxa"/>
            <w:noWrap/>
            <w:hideMark/>
          </w:tcPr>
          <w:p w:rsidR="00DC3CEB" w:rsidRPr="00415908" w:rsidRDefault="00DC3CEB" w:rsidP="00DC3C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tr-TR"/>
              </w:rPr>
            </w:pPr>
            <w:r w:rsidRPr="00415908">
              <w:rPr>
                <w:rFonts w:ascii="Calibri" w:eastAsia="Times New Roman" w:hAnsi="Calibri" w:cs="Times New Roman"/>
                <w:b/>
                <w:color w:val="000000"/>
                <w:lang w:eastAsia="tr-TR"/>
              </w:rPr>
              <w:t>Eki.14</w:t>
            </w:r>
          </w:p>
        </w:tc>
        <w:tc>
          <w:tcPr>
            <w:tcW w:w="1328" w:type="dxa"/>
            <w:noWrap/>
            <w:hideMark/>
          </w:tcPr>
          <w:p w:rsidR="00DC3CEB" w:rsidRPr="00415908" w:rsidRDefault="00DC3CEB" w:rsidP="00DC3C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tr-TR"/>
              </w:rPr>
            </w:pPr>
            <w:r w:rsidRPr="00415908">
              <w:rPr>
                <w:rFonts w:ascii="Calibri" w:eastAsia="Times New Roman" w:hAnsi="Calibri" w:cs="Times New Roman"/>
                <w:b/>
                <w:color w:val="000000"/>
                <w:lang w:eastAsia="tr-TR"/>
              </w:rPr>
              <w:t>Kas.14</w:t>
            </w:r>
          </w:p>
        </w:tc>
      </w:tr>
      <w:tr w:rsidR="00DC3CEB" w:rsidRPr="00DC3CEB" w:rsidTr="00DC3CEB">
        <w:trPr>
          <w:trHeight w:val="494"/>
        </w:trPr>
        <w:tc>
          <w:tcPr>
            <w:cnfStyle w:val="001000000000" w:firstRow="0" w:lastRow="0" w:firstColumn="1" w:lastColumn="0" w:oddVBand="0" w:evenVBand="0" w:oddHBand="0" w:evenHBand="0" w:firstRowFirstColumn="0" w:firstRowLastColumn="0" w:lastRowFirstColumn="0" w:lastRowLastColumn="0"/>
            <w:tcW w:w="6890" w:type="dxa"/>
            <w:hideMark/>
          </w:tcPr>
          <w:p w:rsidR="00DC3CEB" w:rsidRPr="00DC3CEB" w:rsidRDefault="00DC3CEB" w:rsidP="00DC3CEB">
            <w:pPr>
              <w:rPr>
                <w:rFonts w:ascii="Calibri" w:eastAsia="Times New Roman" w:hAnsi="Calibri" w:cs="Times New Roman"/>
                <w:color w:val="000000"/>
                <w:lang w:eastAsia="tr-TR"/>
              </w:rPr>
            </w:pPr>
            <w:r w:rsidRPr="00DC3CEB">
              <w:rPr>
                <w:rFonts w:ascii="Calibri" w:eastAsia="Times New Roman" w:hAnsi="Calibri" w:cs="Times New Roman"/>
                <w:color w:val="000000"/>
                <w:lang w:eastAsia="tr-TR"/>
              </w:rPr>
              <w:t>İnşaat Sektörü Güven Endeksi</w:t>
            </w:r>
          </w:p>
        </w:tc>
        <w:tc>
          <w:tcPr>
            <w:tcW w:w="1224" w:type="dxa"/>
            <w:noWrap/>
            <w:hideMark/>
          </w:tcPr>
          <w:p w:rsidR="00DC3CEB" w:rsidRPr="00DC3CEB" w:rsidRDefault="00415908" w:rsidP="00DC3C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tr-TR"/>
              </w:rPr>
            </w:pPr>
            <w:r>
              <w:rPr>
                <w:rFonts w:ascii="Calibri" w:eastAsia="Times New Roman" w:hAnsi="Calibri" w:cs="Times New Roman"/>
                <w:color w:val="000000"/>
                <w:lang w:eastAsia="tr-TR"/>
              </w:rPr>
              <w:t>81,7</w:t>
            </w:r>
          </w:p>
        </w:tc>
        <w:tc>
          <w:tcPr>
            <w:tcW w:w="1328" w:type="dxa"/>
            <w:noWrap/>
            <w:hideMark/>
          </w:tcPr>
          <w:p w:rsidR="00DC3CEB" w:rsidRPr="00DC3CEB" w:rsidRDefault="00415908" w:rsidP="00DC3C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tr-TR"/>
              </w:rPr>
            </w:pPr>
            <w:r>
              <w:rPr>
                <w:rFonts w:ascii="Calibri" w:eastAsia="Times New Roman" w:hAnsi="Calibri" w:cs="Times New Roman"/>
                <w:color w:val="000000"/>
                <w:lang w:eastAsia="tr-TR"/>
              </w:rPr>
              <w:t>82,9</w:t>
            </w:r>
          </w:p>
        </w:tc>
      </w:tr>
      <w:tr w:rsidR="00DC3CEB" w:rsidRPr="00DC3CEB" w:rsidTr="00DC3CEB">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6890" w:type="dxa"/>
            <w:hideMark/>
          </w:tcPr>
          <w:p w:rsidR="00DC3CEB" w:rsidRPr="00DC3CEB" w:rsidRDefault="00DC3CEB" w:rsidP="00DC3CEB">
            <w:pPr>
              <w:rPr>
                <w:rFonts w:ascii="Calibri" w:eastAsia="Times New Roman" w:hAnsi="Calibri" w:cs="Times New Roman"/>
                <w:b w:val="0"/>
                <w:color w:val="000000"/>
                <w:lang w:eastAsia="tr-TR"/>
              </w:rPr>
            </w:pPr>
            <w:r w:rsidRPr="00DC3CEB">
              <w:rPr>
                <w:rFonts w:ascii="Calibri" w:eastAsia="Times New Roman" w:hAnsi="Calibri" w:cs="Times New Roman"/>
                <w:b w:val="0"/>
                <w:color w:val="000000"/>
                <w:lang w:eastAsia="tr-TR"/>
              </w:rPr>
              <w:t>Alınan Kayıtlı Siparişlerin mevcut düzeyi</w:t>
            </w:r>
          </w:p>
        </w:tc>
        <w:tc>
          <w:tcPr>
            <w:tcW w:w="1224" w:type="dxa"/>
            <w:noWrap/>
            <w:hideMark/>
          </w:tcPr>
          <w:p w:rsidR="00DC3CEB" w:rsidRPr="00DC3CEB" w:rsidRDefault="00DC3CEB" w:rsidP="00DC3C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tr-TR"/>
              </w:rPr>
            </w:pPr>
            <w:r w:rsidRPr="00DC3CEB">
              <w:rPr>
                <w:rFonts w:ascii="Calibri" w:eastAsia="Times New Roman" w:hAnsi="Calibri" w:cs="Times New Roman"/>
                <w:color w:val="000000"/>
                <w:lang w:eastAsia="tr-TR"/>
              </w:rPr>
              <w:t>63,6</w:t>
            </w:r>
          </w:p>
        </w:tc>
        <w:tc>
          <w:tcPr>
            <w:tcW w:w="1328" w:type="dxa"/>
            <w:noWrap/>
            <w:hideMark/>
          </w:tcPr>
          <w:p w:rsidR="00DC3CEB" w:rsidRPr="00DC3CEB" w:rsidRDefault="00DC3CEB" w:rsidP="00DC3CE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tr-TR"/>
              </w:rPr>
            </w:pPr>
            <w:r w:rsidRPr="00DC3CEB">
              <w:rPr>
                <w:rFonts w:ascii="Calibri" w:eastAsia="Times New Roman" w:hAnsi="Calibri" w:cs="Times New Roman"/>
                <w:color w:val="000000"/>
                <w:lang w:eastAsia="tr-TR"/>
              </w:rPr>
              <w:t>63,8</w:t>
            </w:r>
          </w:p>
        </w:tc>
      </w:tr>
      <w:tr w:rsidR="00DC3CEB" w:rsidRPr="00DC3CEB" w:rsidTr="00DC3CEB">
        <w:trPr>
          <w:trHeight w:val="669"/>
        </w:trPr>
        <w:tc>
          <w:tcPr>
            <w:cnfStyle w:val="001000000000" w:firstRow="0" w:lastRow="0" w:firstColumn="1" w:lastColumn="0" w:oddVBand="0" w:evenVBand="0" w:oddHBand="0" w:evenHBand="0" w:firstRowFirstColumn="0" w:firstRowLastColumn="0" w:lastRowFirstColumn="0" w:lastRowLastColumn="0"/>
            <w:tcW w:w="6890" w:type="dxa"/>
            <w:noWrap/>
            <w:hideMark/>
          </w:tcPr>
          <w:p w:rsidR="00DC3CEB" w:rsidRPr="00DC3CEB" w:rsidRDefault="00DC3CEB" w:rsidP="00DC3CEB">
            <w:pPr>
              <w:rPr>
                <w:rFonts w:ascii="Calibri" w:eastAsia="Times New Roman" w:hAnsi="Calibri" w:cs="Times New Roman"/>
                <w:b w:val="0"/>
                <w:color w:val="000000"/>
                <w:lang w:eastAsia="tr-TR"/>
              </w:rPr>
            </w:pPr>
            <w:r w:rsidRPr="00DC3CEB">
              <w:rPr>
                <w:rFonts w:ascii="Calibri" w:eastAsia="Times New Roman" w:hAnsi="Calibri" w:cs="Times New Roman"/>
                <w:b w:val="0"/>
                <w:color w:val="000000"/>
                <w:lang w:eastAsia="tr-TR"/>
              </w:rPr>
              <w:t>Toplam çalışan sayısı beklentisi (gelecek 3 aylık dönemde)</w:t>
            </w:r>
          </w:p>
        </w:tc>
        <w:tc>
          <w:tcPr>
            <w:tcW w:w="1224" w:type="dxa"/>
            <w:noWrap/>
            <w:hideMark/>
          </w:tcPr>
          <w:p w:rsidR="00DC3CEB" w:rsidRPr="00DC3CEB" w:rsidRDefault="00DC3CEB" w:rsidP="00DC3C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tr-TR"/>
              </w:rPr>
            </w:pPr>
            <w:r w:rsidRPr="00DC3CEB">
              <w:rPr>
                <w:rFonts w:ascii="Calibri" w:eastAsia="Times New Roman" w:hAnsi="Calibri" w:cs="Times New Roman"/>
                <w:color w:val="000000"/>
                <w:lang w:eastAsia="tr-TR"/>
              </w:rPr>
              <w:t>99,8</w:t>
            </w:r>
          </w:p>
        </w:tc>
        <w:tc>
          <w:tcPr>
            <w:tcW w:w="1328" w:type="dxa"/>
            <w:noWrap/>
            <w:hideMark/>
          </w:tcPr>
          <w:p w:rsidR="00DC3CEB" w:rsidRPr="00DC3CEB" w:rsidRDefault="00DC3CEB" w:rsidP="00DC3CE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tr-TR"/>
              </w:rPr>
            </w:pPr>
            <w:r w:rsidRPr="00DC3CEB">
              <w:rPr>
                <w:rFonts w:ascii="Calibri" w:eastAsia="Times New Roman" w:hAnsi="Calibri" w:cs="Times New Roman"/>
                <w:color w:val="000000"/>
                <w:lang w:eastAsia="tr-TR"/>
              </w:rPr>
              <w:t>102</w:t>
            </w:r>
          </w:p>
        </w:tc>
      </w:tr>
    </w:tbl>
    <w:p w:rsidR="00DC3CEB" w:rsidRDefault="00DC3CEB" w:rsidP="00F2387A">
      <w:pPr>
        <w:rPr>
          <w:rFonts w:ascii="Times New Roman" w:hAnsi="Times New Roman" w:cs="Times New Roman"/>
          <w:lang w:eastAsia="tr-TR"/>
        </w:rPr>
      </w:pPr>
    </w:p>
    <w:p w:rsidR="00E12C81" w:rsidRDefault="00E12C81" w:rsidP="00472839">
      <w:pPr>
        <w:pStyle w:val="Balk2"/>
        <w:rPr>
          <w:lang w:eastAsia="tr-TR"/>
        </w:rPr>
      </w:pPr>
      <w:r w:rsidRPr="002B5EAF">
        <w:rPr>
          <w:lang w:eastAsia="tr-TR"/>
        </w:rPr>
        <w:t>Hizmet sektörü güven endeksi</w:t>
      </w:r>
    </w:p>
    <w:p w:rsidR="00415908" w:rsidRDefault="00415908" w:rsidP="00415908">
      <w:pPr>
        <w:jc w:val="both"/>
        <w:rPr>
          <w:rFonts w:ascii="Times New Roman" w:hAnsi="Times New Roman" w:cs="Times New Roman"/>
          <w:lang w:eastAsia="tr-TR"/>
        </w:rPr>
      </w:pPr>
      <w:r w:rsidRPr="002B5EAF">
        <w:rPr>
          <w:rFonts w:ascii="Times New Roman" w:hAnsi="Times New Roman" w:cs="Times New Roman"/>
          <w:lang w:eastAsia="tr-TR"/>
        </w:rPr>
        <w:t xml:space="preserve">2014 Kasım ayı mevsimlikten arındırılmış hizmet sektörü güven endeksi incelendiğinde </w:t>
      </w:r>
      <w:r>
        <w:rPr>
          <w:rFonts w:ascii="Times New Roman" w:hAnsi="Times New Roman" w:cs="Times New Roman"/>
          <w:lang w:eastAsia="tr-TR"/>
        </w:rPr>
        <w:t>(Şekil 2)</w:t>
      </w:r>
      <w:r w:rsidRPr="002B5EAF">
        <w:rPr>
          <w:rFonts w:ascii="Times New Roman" w:hAnsi="Times New Roman" w:cs="Times New Roman"/>
          <w:lang w:eastAsia="tr-TR"/>
        </w:rPr>
        <w:t>, 2013 yılı Kasım ayına göre 8,37 oranında düşüş gösterdiği (8,8 puan) ve 95,9</w:t>
      </w:r>
      <w:r>
        <w:rPr>
          <w:rFonts w:ascii="Times New Roman" w:hAnsi="Times New Roman" w:cs="Times New Roman"/>
          <w:lang w:eastAsia="tr-TR"/>
        </w:rPr>
        <w:t xml:space="preserve"> </w:t>
      </w:r>
      <w:r w:rsidRPr="002B5EAF">
        <w:rPr>
          <w:rFonts w:ascii="Times New Roman" w:hAnsi="Times New Roman" w:cs="Times New Roman"/>
          <w:lang w:eastAsia="tr-TR"/>
        </w:rPr>
        <w:t>puana gerilediği göze çarpmaktadır.</w:t>
      </w:r>
      <w:r w:rsidR="00DB0FFC">
        <w:rPr>
          <w:rFonts w:ascii="Times New Roman" w:hAnsi="Times New Roman" w:cs="Times New Roman"/>
          <w:lang w:eastAsia="tr-TR"/>
        </w:rPr>
        <w:t xml:space="preserve"> </w:t>
      </w:r>
      <w:r w:rsidRPr="002B5EAF">
        <w:rPr>
          <w:rFonts w:ascii="Times New Roman" w:hAnsi="Times New Roman" w:cs="Times New Roman"/>
          <w:lang w:eastAsia="tr-TR"/>
        </w:rPr>
        <w:t xml:space="preserve">2014 yılı Ekim ayına göre bakıldığında ise, 1,2 oranında gerilediği (1,9 puan) görülmektedir. </w:t>
      </w:r>
    </w:p>
    <w:p w:rsidR="00E12C81" w:rsidRDefault="00E12C81" w:rsidP="00415908">
      <w:pPr>
        <w:jc w:val="both"/>
        <w:rPr>
          <w:rFonts w:ascii="Times New Roman" w:hAnsi="Times New Roman" w:cs="Times New Roman"/>
          <w:lang w:eastAsia="tr-TR"/>
        </w:rPr>
      </w:pPr>
      <w:r w:rsidRPr="002B5EAF">
        <w:rPr>
          <w:rFonts w:ascii="Times New Roman" w:hAnsi="Times New Roman" w:cs="Times New Roman"/>
          <w:lang w:eastAsia="tr-TR"/>
        </w:rPr>
        <w:t xml:space="preserve">Mevsimlikten arındırılmamış </w:t>
      </w:r>
      <w:r w:rsidR="00415908">
        <w:rPr>
          <w:rFonts w:ascii="Times New Roman" w:hAnsi="Times New Roman" w:cs="Times New Roman"/>
          <w:lang w:eastAsia="tr-TR"/>
        </w:rPr>
        <w:t>endeks ise</w:t>
      </w:r>
      <w:r w:rsidRPr="002B5EAF">
        <w:rPr>
          <w:rFonts w:ascii="Times New Roman" w:hAnsi="Times New Roman" w:cs="Times New Roman"/>
          <w:lang w:eastAsia="tr-TR"/>
        </w:rPr>
        <w:t>, 2014 yılının Ekim ayına göre yüzde 7,39 oranında geril</w:t>
      </w:r>
      <w:r w:rsidR="00DB0FFC">
        <w:rPr>
          <w:rFonts w:ascii="Times New Roman" w:hAnsi="Times New Roman" w:cs="Times New Roman"/>
          <w:lang w:eastAsia="tr-TR"/>
        </w:rPr>
        <w:t>eyerek (</w:t>
      </w:r>
      <w:r w:rsidR="00415908">
        <w:rPr>
          <w:rFonts w:ascii="Times New Roman" w:hAnsi="Times New Roman" w:cs="Times New Roman"/>
          <w:lang w:eastAsia="tr-TR"/>
        </w:rPr>
        <w:t xml:space="preserve">7,3 puan) 91,1 olurken, </w:t>
      </w:r>
      <w:r w:rsidRPr="002B5EAF">
        <w:rPr>
          <w:rFonts w:ascii="Times New Roman" w:hAnsi="Times New Roman" w:cs="Times New Roman"/>
          <w:lang w:eastAsia="tr-TR"/>
        </w:rPr>
        <w:t>2013 yılı Kasım ayı</w:t>
      </w:r>
      <w:r w:rsidR="00DB0FFC">
        <w:rPr>
          <w:rFonts w:ascii="Times New Roman" w:hAnsi="Times New Roman" w:cs="Times New Roman"/>
          <w:lang w:eastAsia="tr-TR"/>
        </w:rPr>
        <w:t>na göre</w:t>
      </w:r>
      <w:r w:rsidR="00415908">
        <w:rPr>
          <w:rFonts w:ascii="Times New Roman" w:hAnsi="Times New Roman" w:cs="Times New Roman"/>
          <w:lang w:eastAsia="tr-TR"/>
        </w:rPr>
        <w:t xml:space="preserve"> 8,5 oranında </w:t>
      </w:r>
      <w:r w:rsidR="00415908" w:rsidRPr="002B5EAF">
        <w:rPr>
          <w:rFonts w:ascii="Times New Roman" w:hAnsi="Times New Roman" w:cs="Times New Roman"/>
          <w:lang w:eastAsia="tr-TR"/>
        </w:rPr>
        <w:t>(8,5 puan)</w:t>
      </w:r>
      <w:r w:rsidR="00415908">
        <w:rPr>
          <w:rFonts w:ascii="Times New Roman" w:hAnsi="Times New Roman" w:cs="Times New Roman"/>
          <w:lang w:eastAsia="tr-TR"/>
        </w:rPr>
        <w:t xml:space="preserve"> gerilemiştir</w:t>
      </w:r>
      <w:r w:rsidRPr="002B5EAF">
        <w:rPr>
          <w:rFonts w:ascii="Times New Roman" w:hAnsi="Times New Roman" w:cs="Times New Roman"/>
          <w:lang w:eastAsia="tr-TR"/>
        </w:rPr>
        <w:t>.</w:t>
      </w:r>
    </w:p>
    <w:p w:rsidR="00735C81" w:rsidRPr="002B5EAF" w:rsidRDefault="00735C81" w:rsidP="00735C81">
      <w:pPr>
        <w:pStyle w:val="ResimYazs"/>
        <w:keepNext/>
        <w:rPr>
          <w:rFonts w:ascii="Times New Roman" w:hAnsi="Times New Roman" w:cs="Times New Roman"/>
          <w:sz w:val="22"/>
          <w:szCs w:val="22"/>
        </w:rPr>
      </w:pPr>
      <w:r w:rsidRPr="002B5EAF">
        <w:rPr>
          <w:rFonts w:ascii="Times New Roman" w:hAnsi="Times New Roman" w:cs="Times New Roman"/>
          <w:sz w:val="22"/>
          <w:szCs w:val="22"/>
        </w:rPr>
        <w:t xml:space="preserve">Şekil </w:t>
      </w:r>
      <w:r w:rsidR="00472839">
        <w:rPr>
          <w:rFonts w:ascii="Times New Roman" w:hAnsi="Times New Roman" w:cs="Times New Roman"/>
          <w:sz w:val="22"/>
          <w:szCs w:val="22"/>
        </w:rPr>
        <w:t>2</w:t>
      </w:r>
      <w:r w:rsidRPr="002B5EAF">
        <w:rPr>
          <w:rFonts w:ascii="Times New Roman" w:hAnsi="Times New Roman" w:cs="Times New Roman"/>
          <w:sz w:val="22"/>
          <w:szCs w:val="22"/>
        </w:rPr>
        <w:t>: Hizmet sektörü güven endeksi (Kasım 2013-Kasım 2014)</w:t>
      </w:r>
    </w:p>
    <w:p w:rsidR="00E12C81" w:rsidRPr="002B5EAF" w:rsidRDefault="00E12C81" w:rsidP="00F2387A">
      <w:pPr>
        <w:rPr>
          <w:rFonts w:ascii="Times New Roman" w:hAnsi="Times New Roman" w:cs="Times New Roman"/>
          <w:lang w:eastAsia="tr-TR"/>
        </w:rPr>
      </w:pPr>
      <w:r w:rsidRPr="002B5EAF">
        <w:rPr>
          <w:rFonts w:ascii="Times New Roman" w:hAnsi="Times New Roman" w:cs="Times New Roman"/>
          <w:noProof/>
          <w:lang w:eastAsia="tr-TR"/>
        </w:rPr>
        <w:drawing>
          <wp:inline distT="0" distB="0" distL="0" distR="0">
            <wp:extent cx="5760720" cy="2861348"/>
            <wp:effectExtent l="0" t="0" r="0" b="0"/>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15908" w:rsidRPr="002B5EAF" w:rsidRDefault="00415908" w:rsidP="00DC3CEB">
      <w:pPr>
        <w:jc w:val="both"/>
        <w:rPr>
          <w:rFonts w:ascii="Times New Roman" w:hAnsi="Times New Roman" w:cs="Times New Roman"/>
          <w:lang w:eastAsia="tr-TR"/>
        </w:rPr>
      </w:pPr>
      <w:r>
        <w:rPr>
          <w:rFonts w:ascii="Times New Roman" w:hAnsi="Times New Roman" w:cs="Times New Roman"/>
          <w:lang w:eastAsia="tr-TR"/>
        </w:rPr>
        <w:t xml:space="preserve">Mevsim etkilerinden arındırılmış hizmet sektörü güven endeksinin oluştuğu alt kalemler incelendiğinde (Tablo 2), Ekim 2014’te 97,9 puan olan iş durumunun, Kasım ayında yüzde 2,04 oranında (2 puan) gerileyerek 95,9 puan olduğu görülmektedir. Hizmet sektörünün diğer bir alt kalemi olan hizmetlere olan talep Kasım 2014’de bir önceki aya göre 0,8 puan gerilemiş ve 91,9 puandan 91,1 puana düşmüştür. Ekim 2014’te 107,5 puan olan gelecek 3 aylık dönem için hizmetlere olan talep beklentisi ise, Kasım 2014’te yüzde 0,37 oranında azalmış ve 107,1’e gerilemiştir. </w:t>
      </w:r>
    </w:p>
    <w:p w:rsidR="00415908" w:rsidRDefault="00415908" w:rsidP="00415908">
      <w:pPr>
        <w:pStyle w:val="ResimYazs"/>
        <w:keepNext/>
      </w:pPr>
      <w:r>
        <w:t xml:space="preserve">Tablo </w:t>
      </w:r>
      <w:fldSimple w:instr=" SEQ Tablo \* ARABIC ">
        <w:r w:rsidR="00552189">
          <w:rPr>
            <w:noProof/>
          </w:rPr>
          <w:t>2</w:t>
        </w:r>
      </w:fldSimple>
      <w:r>
        <w:t>: Hizmet sektörü güven endeksi alt bileşenleri (Ekim-Kasım 2014)</w:t>
      </w:r>
    </w:p>
    <w:tbl>
      <w:tblPr>
        <w:tblStyle w:val="AkGlgeleme-Vurgu11"/>
        <w:tblW w:w="9026" w:type="dxa"/>
        <w:tblLook w:val="04A0" w:firstRow="1" w:lastRow="0" w:firstColumn="1" w:lastColumn="0" w:noHBand="0" w:noVBand="1"/>
      </w:tblPr>
      <w:tblGrid>
        <w:gridCol w:w="6416"/>
        <w:gridCol w:w="1252"/>
        <w:gridCol w:w="1358"/>
      </w:tblGrid>
      <w:tr w:rsidR="00F73F8D" w:rsidRPr="00F73F8D" w:rsidTr="00F73F8D">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416" w:type="dxa"/>
            <w:noWrap/>
            <w:hideMark/>
          </w:tcPr>
          <w:p w:rsidR="00F73F8D" w:rsidRPr="00F73F8D" w:rsidRDefault="00F73F8D" w:rsidP="00F73F8D">
            <w:pPr>
              <w:rPr>
                <w:rFonts w:ascii="Calibri" w:eastAsia="Times New Roman" w:hAnsi="Calibri" w:cs="Times New Roman"/>
                <w:color w:val="000000"/>
                <w:lang w:eastAsia="tr-TR"/>
              </w:rPr>
            </w:pPr>
          </w:p>
        </w:tc>
        <w:tc>
          <w:tcPr>
            <w:tcW w:w="2610" w:type="dxa"/>
            <w:gridSpan w:val="2"/>
            <w:noWrap/>
            <w:hideMark/>
          </w:tcPr>
          <w:p w:rsidR="00F73F8D" w:rsidRPr="00F73F8D" w:rsidRDefault="00F73F8D" w:rsidP="00F73F8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tr-TR"/>
              </w:rPr>
            </w:pPr>
            <w:r w:rsidRPr="00F73F8D">
              <w:rPr>
                <w:rFonts w:ascii="Calibri" w:eastAsia="Times New Roman" w:hAnsi="Calibri" w:cs="Times New Roman"/>
                <w:color w:val="000000"/>
                <w:lang w:eastAsia="tr-TR"/>
              </w:rPr>
              <w:t>Endeks</w:t>
            </w:r>
          </w:p>
        </w:tc>
      </w:tr>
      <w:tr w:rsidR="00F73F8D" w:rsidRPr="00F73F8D" w:rsidTr="00F73F8D">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416" w:type="dxa"/>
            <w:noWrap/>
            <w:hideMark/>
          </w:tcPr>
          <w:p w:rsidR="00F73F8D" w:rsidRPr="00F73F8D" w:rsidRDefault="00F73F8D" w:rsidP="00F73F8D">
            <w:pPr>
              <w:rPr>
                <w:rFonts w:ascii="Calibri" w:eastAsia="Times New Roman" w:hAnsi="Calibri" w:cs="Times New Roman"/>
                <w:color w:val="000000"/>
                <w:lang w:eastAsia="tr-TR"/>
              </w:rPr>
            </w:pPr>
          </w:p>
        </w:tc>
        <w:tc>
          <w:tcPr>
            <w:tcW w:w="1252" w:type="dxa"/>
            <w:noWrap/>
            <w:hideMark/>
          </w:tcPr>
          <w:p w:rsidR="00F73F8D" w:rsidRPr="00415908" w:rsidRDefault="00F73F8D" w:rsidP="00F73F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tr-TR"/>
              </w:rPr>
            </w:pPr>
            <w:r w:rsidRPr="00415908">
              <w:rPr>
                <w:rFonts w:ascii="Calibri" w:eastAsia="Times New Roman" w:hAnsi="Calibri" w:cs="Times New Roman"/>
                <w:b/>
                <w:color w:val="000000"/>
                <w:lang w:eastAsia="tr-TR"/>
              </w:rPr>
              <w:t>Eki.14</w:t>
            </w:r>
          </w:p>
        </w:tc>
        <w:tc>
          <w:tcPr>
            <w:tcW w:w="1358" w:type="dxa"/>
            <w:noWrap/>
            <w:hideMark/>
          </w:tcPr>
          <w:p w:rsidR="00F73F8D" w:rsidRPr="00415908" w:rsidRDefault="00F73F8D" w:rsidP="00F73F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lang w:eastAsia="tr-TR"/>
              </w:rPr>
            </w:pPr>
            <w:r w:rsidRPr="00415908">
              <w:rPr>
                <w:rFonts w:ascii="Calibri" w:eastAsia="Times New Roman" w:hAnsi="Calibri" w:cs="Times New Roman"/>
                <w:b/>
                <w:color w:val="000000"/>
                <w:lang w:eastAsia="tr-TR"/>
              </w:rPr>
              <w:t>Kas.14</w:t>
            </w:r>
          </w:p>
        </w:tc>
      </w:tr>
      <w:tr w:rsidR="005131B0" w:rsidRPr="00F73F8D" w:rsidTr="00F73F8D">
        <w:trPr>
          <w:trHeight w:val="485"/>
        </w:trPr>
        <w:tc>
          <w:tcPr>
            <w:cnfStyle w:val="001000000000" w:firstRow="0" w:lastRow="0" w:firstColumn="1" w:lastColumn="0" w:oddVBand="0" w:evenVBand="0" w:oddHBand="0" w:evenHBand="0" w:firstRowFirstColumn="0" w:firstRowLastColumn="0" w:lastRowFirstColumn="0" w:lastRowLastColumn="0"/>
            <w:tcW w:w="6416" w:type="dxa"/>
            <w:hideMark/>
          </w:tcPr>
          <w:p w:rsidR="005131B0" w:rsidRPr="00F73F8D" w:rsidRDefault="005131B0" w:rsidP="00F73F8D">
            <w:pPr>
              <w:rPr>
                <w:rFonts w:ascii="Calibri" w:eastAsia="Times New Roman" w:hAnsi="Calibri" w:cs="Times New Roman"/>
                <w:color w:val="000000"/>
                <w:lang w:eastAsia="tr-TR"/>
              </w:rPr>
            </w:pPr>
            <w:r w:rsidRPr="00F73F8D">
              <w:rPr>
                <w:rFonts w:ascii="Calibri" w:eastAsia="Times New Roman" w:hAnsi="Calibri" w:cs="Times New Roman"/>
                <w:color w:val="000000"/>
                <w:lang w:eastAsia="tr-TR"/>
              </w:rPr>
              <w:t>Hizmet Sektörü Güven Endeksi</w:t>
            </w:r>
          </w:p>
        </w:tc>
        <w:tc>
          <w:tcPr>
            <w:tcW w:w="1252" w:type="dxa"/>
            <w:noWrap/>
            <w:hideMark/>
          </w:tcPr>
          <w:p w:rsidR="005131B0" w:rsidRPr="00F73F8D" w:rsidRDefault="005131B0" w:rsidP="009767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tr-TR"/>
              </w:rPr>
            </w:pPr>
            <w:r w:rsidRPr="00F73F8D">
              <w:rPr>
                <w:rFonts w:ascii="Calibri" w:eastAsia="Times New Roman" w:hAnsi="Calibri" w:cs="Times New Roman"/>
                <w:color w:val="000000"/>
                <w:lang w:eastAsia="tr-TR"/>
              </w:rPr>
              <w:t>97,9</w:t>
            </w:r>
          </w:p>
        </w:tc>
        <w:tc>
          <w:tcPr>
            <w:tcW w:w="1358" w:type="dxa"/>
            <w:noWrap/>
            <w:hideMark/>
          </w:tcPr>
          <w:p w:rsidR="005131B0" w:rsidRPr="00F73F8D" w:rsidRDefault="005131B0" w:rsidP="009767B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tr-TR"/>
              </w:rPr>
            </w:pPr>
            <w:r w:rsidRPr="00F73F8D">
              <w:rPr>
                <w:rFonts w:ascii="Calibri" w:eastAsia="Times New Roman" w:hAnsi="Calibri" w:cs="Times New Roman"/>
                <w:color w:val="000000"/>
                <w:lang w:eastAsia="tr-TR"/>
              </w:rPr>
              <w:t>95,9</w:t>
            </w:r>
          </w:p>
        </w:tc>
      </w:tr>
      <w:tr w:rsidR="005131B0" w:rsidRPr="00F73F8D" w:rsidTr="00F73F8D">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6416" w:type="dxa"/>
            <w:hideMark/>
          </w:tcPr>
          <w:p w:rsidR="005131B0" w:rsidRPr="00F73F8D" w:rsidRDefault="005131B0" w:rsidP="00F73F8D">
            <w:pPr>
              <w:rPr>
                <w:rFonts w:ascii="Calibri" w:eastAsia="Times New Roman" w:hAnsi="Calibri" w:cs="Times New Roman"/>
                <w:b w:val="0"/>
                <w:color w:val="000000"/>
                <w:lang w:eastAsia="tr-TR"/>
              </w:rPr>
            </w:pPr>
            <w:r w:rsidRPr="00F73F8D">
              <w:rPr>
                <w:rFonts w:ascii="Calibri" w:eastAsia="Times New Roman" w:hAnsi="Calibri" w:cs="Times New Roman"/>
                <w:b w:val="0"/>
                <w:color w:val="000000"/>
                <w:lang w:eastAsia="tr-TR"/>
              </w:rPr>
              <w:t>İş Durumu (Son 3 aylık dönemde)</w:t>
            </w:r>
          </w:p>
        </w:tc>
        <w:tc>
          <w:tcPr>
            <w:tcW w:w="1252" w:type="dxa"/>
            <w:noWrap/>
            <w:hideMark/>
          </w:tcPr>
          <w:p w:rsidR="005131B0" w:rsidRPr="00F73F8D" w:rsidRDefault="005131B0" w:rsidP="005131B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tr-TR"/>
              </w:rPr>
            </w:pPr>
            <w:r>
              <w:rPr>
                <w:rFonts w:ascii="Calibri" w:eastAsia="Times New Roman" w:hAnsi="Calibri" w:cs="Times New Roman"/>
                <w:color w:val="000000"/>
                <w:lang w:eastAsia="tr-TR"/>
              </w:rPr>
              <w:t>94,2</w:t>
            </w:r>
          </w:p>
        </w:tc>
        <w:tc>
          <w:tcPr>
            <w:tcW w:w="1358" w:type="dxa"/>
            <w:noWrap/>
            <w:hideMark/>
          </w:tcPr>
          <w:p w:rsidR="005131B0" w:rsidRPr="00F73F8D" w:rsidRDefault="005131B0" w:rsidP="00F73F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tr-TR"/>
              </w:rPr>
            </w:pPr>
            <w:r>
              <w:rPr>
                <w:rFonts w:ascii="Calibri" w:eastAsia="Times New Roman" w:hAnsi="Calibri" w:cs="Times New Roman"/>
                <w:color w:val="000000"/>
                <w:lang w:eastAsia="tr-TR"/>
              </w:rPr>
              <w:t>91,1</w:t>
            </w:r>
          </w:p>
        </w:tc>
      </w:tr>
      <w:tr w:rsidR="005131B0" w:rsidRPr="00F73F8D" w:rsidTr="00F73F8D">
        <w:trPr>
          <w:trHeight w:val="657"/>
        </w:trPr>
        <w:tc>
          <w:tcPr>
            <w:cnfStyle w:val="001000000000" w:firstRow="0" w:lastRow="0" w:firstColumn="1" w:lastColumn="0" w:oddVBand="0" w:evenVBand="0" w:oddHBand="0" w:evenHBand="0" w:firstRowFirstColumn="0" w:firstRowLastColumn="0" w:lastRowFirstColumn="0" w:lastRowLastColumn="0"/>
            <w:tcW w:w="6416" w:type="dxa"/>
            <w:noWrap/>
            <w:hideMark/>
          </w:tcPr>
          <w:p w:rsidR="005131B0" w:rsidRPr="00F73F8D" w:rsidRDefault="005131B0" w:rsidP="00F73F8D">
            <w:pPr>
              <w:rPr>
                <w:rFonts w:ascii="Calibri" w:eastAsia="Times New Roman" w:hAnsi="Calibri" w:cs="Times New Roman"/>
                <w:b w:val="0"/>
                <w:color w:val="000000"/>
                <w:lang w:eastAsia="tr-TR"/>
              </w:rPr>
            </w:pPr>
            <w:r w:rsidRPr="00F73F8D">
              <w:rPr>
                <w:rFonts w:ascii="Calibri" w:eastAsia="Times New Roman" w:hAnsi="Calibri" w:cs="Times New Roman"/>
                <w:b w:val="0"/>
                <w:color w:val="000000"/>
                <w:lang w:eastAsia="tr-TR"/>
              </w:rPr>
              <w:t>Hizmetlere olan talep (son 3 aylık dönemde</w:t>
            </w:r>
          </w:p>
        </w:tc>
        <w:tc>
          <w:tcPr>
            <w:tcW w:w="1252" w:type="dxa"/>
            <w:noWrap/>
            <w:hideMark/>
          </w:tcPr>
          <w:p w:rsidR="005131B0" w:rsidRPr="00F73F8D" w:rsidRDefault="005131B0" w:rsidP="00F73F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tr-TR"/>
              </w:rPr>
            </w:pPr>
            <w:r w:rsidRPr="00F73F8D">
              <w:rPr>
                <w:rFonts w:ascii="Calibri" w:eastAsia="Times New Roman" w:hAnsi="Calibri" w:cs="Times New Roman"/>
                <w:color w:val="000000"/>
                <w:lang w:eastAsia="tr-TR"/>
              </w:rPr>
              <w:t>91,9</w:t>
            </w:r>
          </w:p>
        </w:tc>
        <w:tc>
          <w:tcPr>
            <w:tcW w:w="1358" w:type="dxa"/>
            <w:noWrap/>
            <w:hideMark/>
          </w:tcPr>
          <w:p w:rsidR="005131B0" w:rsidRPr="00F73F8D" w:rsidRDefault="005131B0" w:rsidP="00F73F8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tr-TR"/>
              </w:rPr>
            </w:pPr>
            <w:r>
              <w:rPr>
                <w:rFonts w:ascii="Calibri" w:eastAsia="Times New Roman" w:hAnsi="Calibri" w:cs="Times New Roman"/>
                <w:color w:val="000000"/>
                <w:lang w:eastAsia="tr-TR"/>
              </w:rPr>
              <w:t>89,6</w:t>
            </w:r>
          </w:p>
        </w:tc>
      </w:tr>
      <w:tr w:rsidR="005131B0" w:rsidRPr="00F73F8D" w:rsidTr="00415908">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6416" w:type="dxa"/>
            <w:hideMark/>
          </w:tcPr>
          <w:p w:rsidR="005131B0" w:rsidRPr="00F73F8D" w:rsidRDefault="005131B0" w:rsidP="00F73F8D">
            <w:pPr>
              <w:rPr>
                <w:rFonts w:ascii="Calibri" w:eastAsia="Times New Roman" w:hAnsi="Calibri" w:cs="Times New Roman"/>
                <w:b w:val="0"/>
                <w:color w:val="000000"/>
                <w:lang w:eastAsia="tr-TR"/>
              </w:rPr>
            </w:pPr>
            <w:r w:rsidRPr="00F73F8D">
              <w:rPr>
                <w:rFonts w:ascii="Calibri" w:eastAsia="Times New Roman" w:hAnsi="Calibri" w:cs="Times New Roman"/>
                <w:b w:val="0"/>
                <w:color w:val="000000"/>
                <w:lang w:eastAsia="tr-TR"/>
              </w:rPr>
              <w:t>Hizmetlere olan talep beklentisi (gelecek 3 aylık dönemde)</w:t>
            </w:r>
          </w:p>
        </w:tc>
        <w:tc>
          <w:tcPr>
            <w:tcW w:w="1252" w:type="dxa"/>
            <w:noWrap/>
            <w:hideMark/>
          </w:tcPr>
          <w:p w:rsidR="005131B0" w:rsidRPr="00F73F8D" w:rsidRDefault="005131B0" w:rsidP="00F73F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tr-TR"/>
              </w:rPr>
            </w:pPr>
            <w:r w:rsidRPr="00F73F8D">
              <w:rPr>
                <w:rFonts w:ascii="Calibri" w:eastAsia="Times New Roman" w:hAnsi="Calibri" w:cs="Times New Roman"/>
                <w:color w:val="000000"/>
                <w:lang w:eastAsia="tr-TR"/>
              </w:rPr>
              <w:t>107,5</w:t>
            </w:r>
          </w:p>
        </w:tc>
        <w:tc>
          <w:tcPr>
            <w:tcW w:w="1358" w:type="dxa"/>
            <w:noWrap/>
            <w:hideMark/>
          </w:tcPr>
          <w:p w:rsidR="005131B0" w:rsidRPr="00F73F8D" w:rsidRDefault="005131B0" w:rsidP="00F73F8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tr-TR"/>
              </w:rPr>
            </w:pPr>
            <w:r w:rsidRPr="00F73F8D">
              <w:rPr>
                <w:rFonts w:ascii="Calibri" w:eastAsia="Times New Roman" w:hAnsi="Calibri" w:cs="Times New Roman"/>
                <w:color w:val="000000"/>
                <w:lang w:eastAsia="tr-TR"/>
              </w:rPr>
              <w:t>107,1</w:t>
            </w:r>
          </w:p>
        </w:tc>
      </w:tr>
    </w:tbl>
    <w:p w:rsidR="00E12C81" w:rsidRPr="002B5EAF" w:rsidRDefault="00E12C81" w:rsidP="00415908">
      <w:pPr>
        <w:rPr>
          <w:rFonts w:ascii="Times New Roman" w:hAnsi="Times New Roman" w:cs="Times New Roman"/>
          <w:lang w:eastAsia="tr-TR"/>
        </w:rPr>
      </w:pPr>
    </w:p>
    <w:sectPr w:rsidR="00E12C81" w:rsidRPr="002B5EAF" w:rsidSect="00D11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compat>
    <w:compatSetting w:name="compatibilityMode" w:uri="http://schemas.microsoft.com/office/word" w:val="12"/>
  </w:compat>
  <w:rsids>
    <w:rsidRoot w:val="00BA0AF0"/>
    <w:rsid w:val="0011679B"/>
    <w:rsid w:val="002B5EAF"/>
    <w:rsid w:val="003E7ABA"/>
    <w:rsid w:val="00414D32"/>
    <w:rsid w:val="00415908"/>
    <w:rsid w:val="00472839"/>
    <w:rsid w:val="005131B0"/>
    <w:rsid w:val="00552189"/>
    <w:rsid w:val="00735C81"/>
    <w:rsid w:val="007A1733"/>
    <w:rsid w:val="008212B1"/>
    <w:rsid w:val="008B29F9"/>
    <w:rsid w:val="00A00243"/>
    <w:rsid w:val="00BA0AF0"/>
    <w:rsid w:val="00CA5ACC"/>
    <w:rsid w:val="00CC05F5"/>
    <w:rsid w:val="00D11DC0"/>
    <w:rsid w:val="00DB0FFC"/>
    <w:rsid w:val="00DC3CEB"/>
    <w:rsid w:val="00E12C81"/>
    <w:rsid w:val="00E22179"/>
    <w:rsid w:val="00E326F7"/>
    <w:rsid w:val="00F2387A"/>
    <w:rsid w:val="00F73F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C0"/>
  </w:style>
  <w:style w:type="paragraph" w:styleId="Balk1">
    <w:name w:val="heading 1"/>
    <w:basedOn w:val="Normal"/>
    <w:next w:val="Normal"/>
    <w:link w:val="Balk1Char"/>
    <w:uiPriority w:val="9"/>
    <w:qFormat/>
    <w:rsid w:val="00E12C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E12C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E12C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Glgeleme-Vurgu5">
    <w:name w:val="Light Shading Accent 5"/>
    <w:basedOn w:val="NormalTablo"/>
    <w:uiPriority w:val="60"/>
    <w:rsid w:val="00BA0AF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AkGlgeleme-Vurgu11">
    <w:name w:val="Açık Gölgeleme - Vurgu 11"/>
    <w:basedOn w:val="NormalTablo"/>
    <w:uiPriority w:val="60"/>
    <w:rsid w:val="00BA0A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bilgi">
    <w:name w:val="header"/>
    <w:basedOn w:val="Normal"/>
    <w:link w:val="stbilgiChar"/>
    <w:uiPriority w:val="99"/>
    <w:unhideWhenUsed/>
    <w:rsid w:val="00BA0AF0"/>
    <w:pPr>
      <w:tabs>
        <w:tab w:val="center" w:pos="4536"/>
        <w:tab w:val="right" w:pos="9072"/>
      </w:tabs>
      <w:spacing w:after="0" w:line="240" w:lineRule="auto"/>
    </w:pPr>
    <w:rPr>
      <w:rFonts w:eastAsiaTheme="minorEastAsia"/>
      <w:lang w:eastAsia="tr-TR"/>
    </w:rPr>
  </w:style>
  <w:style w:type="character" w:customStyle="1" w:styleId="stbilgiChar">
    <w:name w:val="Üstbilgi Char"/>
    <w:basedOn w:val="VarsaylanParagrafYazTipi"/>
    <w:link w:val="stbilgi"/>
    <w:uiPriority w:val="99"/>
    <w:rsid w:val="00BA0AF0"/>
    <w:rPr>
      <w:rFonts w:eastAsiaTheme="minorEastAsia"/>
      <w:lang w:eastAsia="tr-TR"/>
    </w:rPr>
  </w:style>
  <w:style w:type="paragraph" w:styleId="BalonMetni">
    <w:name w:val="Balloon Text"/>
    <w:basedOn w:val="Normal"/>
    <w:link w:val="BalonMetniChar"/>
    <w:uiPriority w:val="99"/>
    <w:semiHidden/>
    <w:unhideWhenUsed/>
    <w:rsid w:val="00BA0A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0AF0"/>
    <w:rPr>
      <w:rFonts w:ascii="Tahoma" w:hAnsi="Tahoma" w:cs="Tahoma"/>
      <w:sz w:val="16"/>
      <w:szCs w:val="16"/>
    </w:rPr>
  </w:style>
  <w:style w:type="paragraph" w:styleId="ResimYazs">
    <w:name w:val="caption"/>
    <w:basedOn w:val="Normal"/>
    <w:next w:val="Normal"/>
    <w:uiPriority w:val="35"/>
    <w:unhideWhenUsed/>
    <w:qFormat/>
    <w:rsid w:val="00BA0AF0"/>
    <w:pPr>
      <w:spacing w:line="240" w:lineRule="auto"/>
    </w:pPr>
    <w:rPr>
      <w:rFonts w:eastAsiaTheme="minorEastAsia"/>
      <w:b/>
      <w:bCs/>
      <w:color w:val="4F81BD" w:themeColor="accent1"/>
      <w:sz w:val="18"/>
      <w:szCs w:val="18"/>
      <w:lang w:eastAsia="tr-TR"/>
    </w:rPr>
  </w:style>
  <w:style w:type="character" w:customStyle="1" w:styleId="Balk1Char">
    <w:name w:val="Başlık 1 Char"/>
    <w:basedOn w:val="VarsaylanParagrafYazTipi"/>
    <w:link w:val="Balk1"/>
    <w:uiPriority w:val="9"/>
    <w:rsid w:val="00E12C8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E12C8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E12C8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3217">
      <w:bodyDiv w:val="1"/>
      <w:marLeft w:val="0"/>
      <w:marRight w:val="0"/>
      <w:marTop w:val="0"/>
      <w:marBottom w:val="0"/>
      <w:divBdr>
        <w:top w:val="none" w:sz="0" w:space="0" w:color="auto"/>
        <w:left w:val="none" w:sz="0" w:space="0" w:color="auto"/>
        <w:bottom w:val="none" w:sz="0" w:space="0" w:color="auto"/>
        <w:right w:val="none" w:sz="0" w:space="0" w:color="auto"/>
      </w:divBdr>
    </w:div>
    <w:div w:id="313413074">
      <w:bodyDiv w:val="1"/>
      <w:marLeft w:val="0"/>
      <w:marRight w:val="0"/>
      <w:marTop w:val="0"/>
      <w:marBottom w:val="0"/>
      <w:divBdr>
        <w:top w:val="none" w:sz="0" w:space="0" w:color="auto"/>
        <w:left w:val="none" w:sz="0" w:space="0" w:color="auto"/>
        <w:bottom w:val="none" w:sz="0" w:space="0" w:color="auto"/>
        <w:right w:val="none" w:sz="0" w:space="0" w:color="auto"/>
      </w:divBdr>
    </w:div>
    <w:div w:id="1418936610">
      <w:bodyDiv w:val="1"/>
      <w:marLeft w:val="0"/>
      <w:marRight w:val="0"/>
      <w:marTop w:val="0"/>
      <w:marBottom w:val="0"/>
      <w:divBdr>
        <w:top w:val="none" w:sz="0" w:space="0" w:color="auto"/>
        <w:left w:val="none" w:sz="0" w:space="0" w:color="auto"/>
        <w:bottom w:val="none" w:sz="0" w:space="0" w:color="auto"/>
        <w:right w:val="none" w:sz="0" w:space="0" w:color="auto"/>
      </w:divBdr>
    </w:div>
    <w:div w:id="1632781590">
      <w:bodyDiv w:val="1"/>
      <w:marLeft w:val="0"/>
      <w:marRight w:val="0"/>
      <w:marTop w:val="0"/>
      <w:marBottom w:val="0"/>
      <w:divBdr>
        <w:top w:val="none" w:sz="0" w:space="0" w:color="auto"/>
        <w:left w:val="none" w:sz="0" w:space="0" w:color="auto"/>
        <w:bottom w:val="none" w:sz="0" w:space="0" w:color="auto"/>
        <w:right w:val="none" w:sz="0" w:space="0" w:color="auto"/>
      </w:divBdr>
    </w:div>
    <w:div w:id="1701398461">
      <w:bodyDiv w:val="1"/>
      <w:marLeft w:val="0"/>
      <w:marRight w:val="0"/>
      <w:marTop w:val="0"/>
      <w:marBottom w:val="0"/>
      <w:divBdr>
        <w:top w:val="none" w:sz="0" w:space="0" w:color="auto"/>
        <w:left w:val="none" w:sz="0" w:space="0" w:color="auto"/>
        <w:bottom w:val="none" w:sz="0" w:space="0" w:color="auto"/>
        <w:right w:val="none" w:sz="0" w:space="0" w:color="auto"/>
      </w:divBdr>
    </w:div>
    <w:div w:id="2108495524">
      <w:bodyDiv w:val="1"/>
      <w:marLeft w:val="0"/>
      <w:marRight w:val="0"/>
      <w:marTop w:val="0"/>
      <w:marBottom w:val="0"/>
      <w:divBdr>
        <w:top w:val="none" w:sz="0" w:space="0" w:color="auto"/>
        <w:left w:val="none" w:sz="0" w:space="0" w:color="auto"/>
        <w:bottom w:val="none" w:sz="0" w:space="0" w:color="auto"/>
        <w:right w:val="none" w:sz="0" w:space="0" w:color="auto"/>
      </w:divBdr>
    </w:div>
    <w:div w:id="211131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Downloads\-158438909904419970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Downloads\177426586696512634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92015283803813E-2"/>
          <c:y val="5.1400554097404488E-2"/>
          <c:w val="0.738580891674255"/>
          <c:h val="0.74778178769320702"/>
        </c:manualLayout>
      </c:layout>
      <c:lineChart>
        <c:grouping val="standard"/>
        <c:varyColors val="0"/>
        <c:ser>
          <c:idx val="0"/>
          <c:order val="0"/>
          <c:tx>
            <c:strRef>
              <c:f>Sayfa1!$C$5</c:f>
              <c:strCache>
                <c:ptCount val="1"/>
                <c:pt idx="0">
                  <c:v>Mevsimlikten Arındırılmamış İnşaat sektörü güven endeksi</c:v>
                </c:pt>
              </c:strCache>
            </c:strRef>
          </c:tx>
          <c:marker>
            <c:symbol val="none"/>
          </c:marker>
          <c:cat>
            <c:numRef>
              <c:f>Sayfa1!$D$4:$P$4</c:f>
              <c:numCache>
                <c:formatCode>Genel</c:formatCode>
                <c:ptCount val="13"/>
                <c:pt idx="0">
                  <c:v>41579</c:v>
                </c:pt>
                <c:pt idx="1">
                  <c:v>41609</c:v>
                </c:pt>
                <c:pt idx="2">
                  <c:v>41640</c:v>
                </c:pt>
                <c:pt idx="3">
                  <c:v>41671</c:v>
                </c:pt>
                <c:pt idx="4">
                  <c:v>41699</c:v>
                </c:pt>
                <c:pt idx="5">
                  <c:v>41730</c:v>
                </c:pt>
                <c:pt idx="6">
                  <c:v>41760</c:v>
                </c:pt>
                <c:pt idx="7">
                  <c:v>41791</c:v>
                </c:pt>
                <c:pt idx="8">
                  <c:v>41821</c:v>
                </c:pt>
                <c:pt idx="9">
                  <c:v>41852</c:v>
                </c:pt>
                <c:pt idx="10">
                  <c:v>41883</c:v>
                </c:pt>
                <c:pt idx="11">
                  <c:v>41913</c:v>
                </c:pt>
                <c:pt idx="12">
                  <c:v>41944</c:v>
                </c:pt>
              </c:numCache>
            </c:numRef>
          </c:cat>
          <c:val>
            <c:numRef>
              <c:f>Sayfa1!$D$5:$P$5</c:f>
              <c:numCache>
                <c:formatCode>#.#00</c:formatCode>
                <c:ptCount val="13"/>
                <c:pt idx="0">
                  <c:v>77.05</c:v>
                </c:pt>
                <c:pt idx="1">
                  <c:v>73.3</c:v>
                </c:pt>
                <c:pt idx="2">
                  <c:v>86.894667310692881</c:v>
                </c:pt>
                <c:pt idx="3">
                  <c:v>83.828785698538439</c:v>
                </c:pt>
                <c:pt idx="4">
                  <c:v>84.453658292521524</c:v>
                </c:pt>
                <c:pt idx="5">
                  <c:v>86.729530303551755</c:v>
                </c:pt>
                <c:pt idx="6">
                  <c:v>86.229931433549524</c:v>
                </c:pt>
                <c:pt idx="7">
                  <c:v>84.260626536057302</c:v>
                </c:pt>
                <c:pt idx="8">
                  <c:v>80.9329538978795</c:v>
                </c:pt>
                <c:pt idx="9">
                  <c:v>82.211290707936186</c:v>
                </c:pt>
                <c:pt idx="10">
                  <c:v>80.928408504184915</c:v>
                </c:pt>
                <c:pt idx="11">
                  <c:v>74.846235557199549</c:v>
                </c:pt>
                <c:pt idx="12">
                  <c:v>75.944942703521889</c:v>
                </c:pt>
              </c:numCache>
            </c:numRef>
          </c:val>
          <c:smooth val="0"/>
        </c:ser>
        <c:ser>
          <c:idx val="1"/>
          <c:order val="1"/>
          <c:tx>
            <c:strRef>
              <c:f>Sayfa1!$C$6</c:f>
              <c:strCache>
                <c:ptCount val="1"/>
                <c:pt idx="0">
                  <c:v>Mevsimlikten arındırılmış inşaat sektörü güven endeksi</c:v>
                </c:pt>
              </c:strCache>
            </c:strRef>
          </c:tx>
          <c:marker>
            <c:symbol val="none"/>
          </c:marker>
          <c:cat>
            <c:numRef>
              <c:f>Sayfa1!$D$4:$P$4</c:f>
              <c:numCache>
                <c:formatCode>Genel</c:formatCode>
                <c:ptCount val="13"/>
                <c:pt idx="0">
                  <c:v>41579</c:v>
                </c:pt>
                <c:pt idx="1">
                  <c:v>41609</c:v>
                </c:pt>
                <c:pt idx="2">
                  <c:v>41640</c:v>
                </c:pt>
                <c:pt idx="3">
                  <c:v>41671</c:v>
                </c:pt>
                <c:pt idx="4">
                  <c:v>41699</c:v>
                </c:pt>
                <c:pt idx="5">
                  <c:v>41730</c:v>
                </c:pt>
                <c:pt idx="6">
                  <c:v>41760</c:v>
                </c:pt>
                <c:pt idx="7">
                  <c:v>41791</c:v>
                </c:pt>
                <c:pt idx="8">
                  <c:v>41821</c:v>
                </c:pt>
                <c:pt idx="9">
                  <c:v>41852</c:v>
                </c:pt>
                <c:pt idx="10">
                  <c:v>41883</c:v>
                </c:pt>
                <c:pt idx="11">
                  <c:v>41913</c:v>
                </c:pt>
                <c:pt idx="12">
                  <c:v>41944</c:v>
                </c:pt>
              </c:numCache>
            </c:numRef>
          </c:cat>
          <c:val>
            <c:numRef>
              <c:f>Sayfa1!$D$6:$P$6</c:f>
              <c:numCache>
                <c:formatCode>#.#00</c:formatCode>
                <c:ptCount val="13"/>
                <c:pt idx="0">
                  <c:v>84.164573425000157</c:v>
                </c:pt>
                <c:pt idx="1">
                  <c:v>83.242896489999993</c:v>
                </c:pt>
                <c:pt idx="2">
                  <c:v>87.885733019999748</c:v>
                </c:pt>
                <c:pt idx="3">
                  <c:v>81.592786819999745</c:v>
                </c:pt>
                <c:pt idx="4">
                  <c:v>78.190459471891799</c:v>
                </c:pt>
                <c:pt idx="5">
                  <c:v>78.808805139218649</c:v>
                </c:pt>
                <c:pt idx="6">
                  <c:v>80.083020390885878</c:v>
                </c:pt>
                <c:pt idx="7">
                  <c:v>80.659031561685978</c:v>
                </c:pt>
                <c:pt idx="8">
                  <c:v>79.397850916770778</c:v>
                </c:pt>
                <c:pt idx="9">
                  <c:v>82.333030006773058</c:v>
                </c:pt>
                <c:pt idx="10">
                  <c:v>83.719695655342861</c:v>
                </c:pt>
                <c:pt idx="11">
                  <c:v>81.721367974131553</c:v>
                </c:pt>
                <c:pt idx="12">
                  <c:v>82.892569439630165</c:v>
                </c:pt>
              </c:numCache>
            </c:numRef>
          </c:val>
          <c:smooth val="0"/>
        </c:ser>
        <c:dLbls>
          <c:showLegendKey val="0"/>
          <c:showVal val="0"/>
          <c:showCatName val="0"/>
          <c:showSerName val="0"/>
          <c:showPercent val="0"/>
          <c:showBubbleSize val="0"/>
        </c:dLbls>
        <c:marker val="1"/>
        <c:smooth val="0"/>
        <c:axId val="125634432"/>
        <c:axId val="125635968"/>
      </c:lineChart>
      <c:catAx>
        <c:axId val="125634432"/>
        <c:scaling>
          <c:orientation val="minMax"/>
        </c:scaling>
        <c:delete val="0"/>
        <c:axPos val="b"/>
        <c:numFmt formatCode="Genel" sourceLinked="1"/>
        <c:majorTickMark val="out"/>
        <c:minorTickMark val="none"/>
        <c:tickLblPos val="nextTo"/>
        <c:txPr>
          <a:bodyPr/>
          <a:lstStyle/>
          <a:p>
            <a:pPr>
              <a:defRPr sz="900"/>
            </a:pPr>
            <a:endParaRPr lang="tr-TR"/>
          </a:p>
        </c:txPr>
        <c:crossAx val="125635968"/>
        <c:crosses val="autoZero"/>
        <c:auto val="1"/>
        <c:lblAlgn val="ctr"/>
        <c:lblOffset val="100"/>
        <c:noMultiLvlLbl val="0"/>
      </c:catAx>
      <c:valAx>
        <c:axId val="125635968"/>
        <c:scaling>
          <c:orientation val="minMax"/>
        </c:scaling>
        <c:delete val="0"/>
        <c:axPos val="l"/>
        <c:majorGridlines/>
        <c:numFmt formatCode="#.#00" sourceLinked="1"/>
        <c:majorTickMark val="out"/>
        <c:minorTickMark val="none"/>
        <c:tickLblPos val="nextTo"/>
        <c:txPr>
          <a:bodyPr/>
          <a:lstStyle/>
          <a:p>
            <a:pPr>
              <a:defRPr sz="900"/>
            </a:pPr>
            <a:endParaRPr lang="tr-TR"/>
          </a:p>
        </c:txPr>
        <c:crossAx val="125634432"/>
        <c:crosses val="autoZero"/>
        <c:crossBetween val="between"/>
      </c:valAx>
    </c:plotArea>
    <c:legend>
      <c:legendPos val="r"/>
      <c:layout>
        <c:manualLayout>
          <c:xMode val="edge"/>
          <c:yMode val="edge"/>
          <c:x val="0.82062349349188835"/>
          <c:y val="0.11034339457567795"/>
          <c:w val="0.16577106433124433"/>
          <c:h val="0.74227617381160649"/>
        </c:manualLayout>
      </c:layout>
      <c:overlay val="0"/>
      <c:txPr>
        <a:bodyPr/>
        <a:lstStyle/>
        <a:p>
          <a:pPr>
            <a:defRPr sz="800"/>
          </a:pPr>
          <a:endParaRPr lang="tr-TR"/>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820387550566381E-2"/>
          <c:y val="4.9180596611470083E-2"/>
          <c:w val="0.72341934980899658"/>
          <c:h val="0.75867493307522804"/>
        </c:manualLayout>
      </c:layout>
      <c:lineChart>
        <c:grouping val="standard"/>
        <c:varyColors val="0"/>
        <c:ser>
          <c:idx val="0"/>
          <c:order val="0"/>
          <c:tx>
            <c:strRef>
              <c:f>Sayfa1!$D$8</c:f>
              <c:strCache>
                <c:ptCount val="1"/>
                <c:pt idx="0">
                  <c:v>Mevsimlikten arındırılmamış Hizmet sektörü güven endeksi </c:v>
                </c:pt>
              </c:strCache>
            </c:strRef>
          </c:tx>
          <c:marker>
            <c:symbol val="none"/>
          </c:marker>
          <c:dLbls>
            <c:showLegendKey val="0"/>
            <c:showVal val="1"/>
            <c:showCatName val="0"/>
            <c:showSerName val="0"/>
            <c:showPercent val="0"/>
            <c:showBubbleSize val="0"/>
            <c:showLeaderLines val="0"/>
          </c:dLbls>
          <c:cat>
            <c:numRef>
              <c:f>Sayfa1!$E$7:$Q$7</c:f>
              <c:numCache>
                <c:formatCode>Genel</c:formatCode>
                <c:ptCount val="13"/>
                <c:pt idx="0">
                  <c:v>41579</c:v>
                </c:pt>
                <c:pt idx="1">
                  <c:v>41609</c:v>
                </c:pt>
                <c:pt idx="2">
                  <c:v>41640</c:v>
                </c:pt>
                <c:pt idx="3">
                  <c:v>41671</c:v>
                </c:pt>
                <c:pt idx="4">
                  <c:v>41699</c:v>
                </c:pt>
                <c:pt idx="5">
                  <c:v>41730</c:v>
                </c:pt>
                <c:pt idx="6">
                  <c:v>41760</c:v>
                </c:pt>
                <c:pt idx="7">
                  <c:v>41791</c:v>
                </c:pt>
                <c:pt idx="8">
                  <c:v>41821</c:v>
                </c:pt>
                <c:pt idx="9">
                  <c:v>41852</c:v>
                </c:pt>
                <c:pt idx="10">
                  <c:v>41883</c:v>
                </c:pt>
                <c:pt idx="11">
                  <c:v>41913</c:v>
                </c:pt>
                <c:pt idx="12">
                  <c:v>41944</c:v>
                </c:pt>
              </c:numCache>
            </c:numRef>
          </c:cat>
          <c:val>
            <c:numRef>
              <c:f>Sayfa1!$E$8:$Q$8</c:f>
              <c:numCache>
                <c:formatCode>#.#00</c:formatCode>
                <c:ptCount val="13"/>
                <c:pt idx="0">
                  <c:v>99.58</c:v>
                </c:pt>
                <c:pt idx="1">
                  <c:v>95.03</c:v>
                </c:pt>
                <c:pt idx="2">
                  <c:v>95.591217752494558</c:v>
                </c:pt>
                <c:pt idx="3">
                  <c:v>97.960617462976927</c:v>
                </c:pt>
                <c:pt idx="4">
                  <c:v>99.064036833288228</c:v>
                </c:pt>
                <c:pt idx="5">
                  <c:v>104.108310645949</c:v>
                </c:pt>
                <c:pt idx="6">
                  <c:v>105.077599918329</c:v>
                </c:pt>
                <c:pt idx="7">
                  <c:v>105.62327286771473</c:v>
                </c:pt>
                <c:pt idx="8">
                  <c:v>99.725627859344101</c:v>
                </c:pt>
                <c:pt idx="9">
                  <c:v>103.183202686927</c:v>
                </c:pt>
                <c:pt idx="10">
                  <c:v>101.85621811091598</c:v>
                </c:pt>
                <c:pt idx="11">
                  <c:v>98.382789202470335</c:v>
                </c:pt>
                <c:pt idx="12">
                  <c:v>91.113463503082599</c:v>
                </c:pt>
              </c:numCache>
            </c:numRef>
          </c:val>
          <c:smooth val="0"/>
        </c:ser>
        <c:ser>
          <c:idx val="1"/>
          <c:order val="1"/>
          <c:tx>
            <c:strRef>
              <c:f>Sayfa1!$D$9</c:f>
              <c:strCache>
                <c:ptCount val="1"/>
                <c:pt idx="0">
                  <c:v>Mevsim etkilerinden arındırılmış hizmet sektörü güven endeksi</c:v>
                </c:pt>
              </c:strCache>
            </c:strRef>
          </c:tx>
          <c:marker>
            <c:symbol val="none"/>
          </c:marker>
          <c:cat>
            <c:numRef>
              <c:f>Sayfa1!$E$7:$Q$7</c:f>
              <c:numCache>
                <c:formatCode>Genel</c:formatCode>
                <c:ptCount val="13"/>
                <c:pt idx="0">
                  <c:v>41579</c:v>
                </c:pt>
                <c:pt idx="1">
                  <c:v>41609</c:v>
                </c:pt>
                <c:pt idx="2">
                  <c:v>41640</c:v>
                </c:pt>
                <c:pt idx="3">
                  <c:v>41671</c:v>
                </c:pt>
                <c:pt idx="4">
                  <c:v>41699</c:v>
                </c:pt>
                <c:pt idx="5">
                  <c:v>41730</c:v>
                </c:pt>
                <c:pt idx="6">
                  <c:v>41760</c:v>
                </c:pt>
                <c:pt idx="7">
                  <c:v>41791</c:v>
                </c:pt>
                <c:pt idx="8">
                  <c:v>41821</c:v>
                </c:pt>
                <c:pt idx="9">
                  <c:v>41852</c:v>
                </c:pt>
                <c:pt idx="10">
                  <c:v>41883</c:v>
                </c:pt>
                <c:pt idx="11">
                  <c:v>41913</c:v>
                </c:pt>
                <c:pt idx="12">
                  <c:v>41944</c:v>
                </c:pt>
              </c:numCache>
            </c:numRef>
          </c:cat>
          <c:val>
            <c:numRef>
              <c:f>Sayfa1!$E$9:$Q$9</c:f>
              <c:numCache>
                <c:formatCode>#.#00</c:formatCode>
                <c:ptCount val="13"/>
                <c:pt idx="0">
                  <c:v>104.70218468633342</c:v>
                </c:pt>
                <c:pt idx="1">
                  <c:v>103.95392415200001</c:v>
                </c:pt>
                <c:pt idx="2">
                  <c:v>102.77428887000001</c:v>
                </c:pt>
                <c:pt idx="3">
                  <c:v>102.33990191333334</c:v>
                </c:pt>
                <c:pt idx="4">
                  <c:v>101.49835191666639</c:v>
                </c:pt>
                <c:pt idx="5">
                  <c:v>99.4437015966665</c:v>
                </c:pt>
                <c:pt idx="6">
                  <c:v>98.57807772666628</c:v>
                </c:pt>
                <c:pt idx="7">
                  <c:v>99.215739239999948</c:v>
                </c:pt>
                <c:pt idx="8">
                  <c:v>97.357771989999989</c:v>
                </c:pt>
                <c:pt idx="9">
                  <c:v>98.928094883333344</c:v>
                </c:pt>
                <c:pt idx="10">
                  <c:v>99.037582023333343</c:v>
                </c:pt>
                <c:pt idx="11">
                  <c:v>97.854731593333142</c:v>
                </c:pt>
                <c:pt idx="12">
                  <c:v>95.939325990000157</c:v>
                </c:pt>
              </c:numCache>
            </c:numRef>
          </c:val>
          <c:smooth val="0"/>
        </c:ser>
        <c:dLbls>
          <c:showLegendKey val="0"/>
          <c:showVal val="0"/>
          <c:showCatName val="0"/>
          <c:showSerName val="0"/>
          <c:showPercent val="0"/>
          <c:showBubbleSize val="0"/>
        </c:dLbls>
        <c:marker val="1"/>
        <c:smooth val="0"/>
        <c:axId val="131305856"/>
        <c:axId val="131307392"/>
      </c:lineChart>
      <c:catAx>
        <c:axId val="131305856"/>
        <c:scaling>
          <c:orientation val="minMax"/>
        </c:scaling>
        <c:delete val="0"/>
        <c:axPos val="b"/>
        <c:numFmt formatCode="Genel" sourceLinked="1"/>
        <c:majorTickMark val="out"/>
        <c:minorTickMark val="none"/>
        <c:tickLblPos val="nextTo"/>
        <c:crossAx val="131307392"/>
        <c:crosses val="autoZero"/>
        <c:auto val="1"/>
        <c:lblAlgn val="ctr"/>
        <c:lblOffset val="100"/>
        <c:noMultiLvlLbl val="0"/>
      </c:catAx>
      <c:valAx>
        <c:axId val="131307392"/>
        <c:scaling>
          <c:orientation val="minMax"/>
        </c:scaling>
        <c:delete val="0"/>
        <c:axPos val="l"/>
        <c:majorGridlines/>
        <c:numFmt formatCode="#.#00" sourceLinked="1"/>
        <c:majorTickMark val="out"/>
        <c:minorTickMark val="none"/>
        <c:tickLblPos val="nextTo"/>
        <c:crossAx val="131305856"/>
        <c:crosses val="autoZero"/>
        <c:crossBetween val="between"/>
      </c:valAx>
    </c:plotArea>
    <c:legend>
      <c:legendPos val="r"/>
      <c:layout>
        <c:manualLayout>
          <c:xMode val="edge"/>
          <c:yMode val="edge"/>
          <c:x val="0.82948294829482949"/>
          <c:y val="0.14895335757448983"/>
          <c:w val="0.16831683168316841"/>
          <c:h val="0.7419600456919625"/>
        </c:manualLayout>
      </c:layout>
      <c:overlay val="0"/>
      <c:txPr>
        <a:bodyPr/>
        <a:lstStyle/>
        <a:p>
          <a:pPr>
            <a:defRPr sz="800"/>
          </a:pPr>
          <a:endParaRPr lang="tr-TR"/>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449</Words>
  <Characters>2560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m.behzat ekinci</cp:lastModifiedBy>
  <cp:revision>5</cp:revision>
  <cp:lastPrinted>2014-11-26T10:56:00Z</cp:lastPrinted>
  <dcterms:created xsi:type="dcterms:W3CDTF">2014-11-25T13:19:00Z</dcterms:created>
  <dcterms:modified xsi:type="dcterms:W3CDTF">2014-11-26T12:38:00Z</dcterms:modified>
</cp:coreProperties>
</file>